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0" w:line="240" w:lineRule="auto"/>
        <w:ind w:left="444" w:right="98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II – DECLARAÇÃO NORMAS DA TUTORIA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035"/>
        </w:tabs>
        <w:spacing w:before="208" w:line="240" w:lineRule="auto"/>
        <w:ind w:left="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Eu,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38" w:line="360" w:lineRule="auto"/>
        <w:ind w:left="141.73228346456688" w:right="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4"/>
          <w:szCs w:val="24"/>
          <w:rtl w:val="0"/>
        </w:rPr>
        <w:t xml:space="preserve">candidato ao Edital 36/2025 declaro, para os devidos fins, que conheço e concordo com as normas que regem as atividades de Tutor do Grupo PET.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19" w:line="276" w:lineRule="auto"/>
        <w:ind w:left="141.73228346456688" w:right="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Observação: As principais legislações que regem o Programa de Educação Tutorial - PET, tais como Lei nº 11.180, de 23 de setembro de 2005 - Institui o Programa de Educação Tutorial – PET;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Portaria nº 976, de 27 de julho de 2010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alterada pela Portaria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n° 343, de 24 de abril de 2013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Resolução nº 36, de 24 de setembro de 2013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Resolução/CD/FNDE nº 42, de 4 de novembro de 2013 estão disponíveis no link: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http://portal.mec.gov.br/pet/legislacao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9002"/>
        </w:tabs>
        <w:spacing w:line="240" w:lineRule="auto"/>
        <w:ind w:left="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040"/>
        </w:tabs>
        <w:spacing w:before="90" w:line="240" w:lineRule="auto"/>
        <w:ind w:left="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portal.mec.gov.br/pet/legislacao" TargetMode="External"/><Relationship Id="rId5" Type="http://schemas.openxmlformats.org/officeDocument/2006/relationships/styles" Target="styles.xml"/><Relationship Id="rId6" Type="http://schemas.openxmlformats.org/officeDocument/2006/relationships/hyperlink" Target="http://portal.mec.gov.br/component/docman/?task=doc_download&amp;gid=14912&amp;Itemid" TargetMode="External"/><Relationship Id="rId7" Type="http://schemas.openxmlformats.org/officeDocument/2006/relationships/hyperlink" Target="http://portal.mec.gov.br/component/docman/?task=doc_download&amp;gid=13005&amp;Itemid" TargetMode="External"/><Relationship Id="rId8" Type="http://schemas.openxmlformats.org/officeDocument/2006/relationships/hyperlink" Target="http://www.fnde.gov.br/fnde/legislacao/resolucoes/item/4911-resolu%C3%A7%C3%A3o-cd-fnde-n%C2%BA-36%2C-de-24-de-setembro-de-2013?highlight=YTozOntpOjA7czoxMToicmVzb2x1w6fDo28iO2k6MTtpOjM2O2k6MjtzOjM6InBldCI7fQ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