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ANEXO II - MÉRITO TÉCNICO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9rxvj7vatfmp" w:id="1"/>
      <w:bookmarkEnd w:id="1"/>
      <w:r w:rsidDel="00000000" w:rsidR="00000000" w:rsidRPr="00000000">
        <w:rPr>
          <w:sz w:val="24"/>
          <w:szCs w:val="24"/>
          <w:rtl w:val="0"/>
        </w:rPr>
        <w:t xml:space="preserve">1.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MÉRITO TÉCNICO DO PROJETO</w:t>
      </w:r>
    </w:p>
    <w:p w:rsidR="00000000" w:rsidDel="00000000" w:rsidP="00000000" w:rsidRDefault="00000000" w:rsidRPr="00000000" w14:paraId="00000003">
      <w:pPr>
        <w:spacing w:before="220" w:line="360" w:lineRule="auto"/>
        <w:ind w:left="100" w:righ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A avaliação do mérito técnico dos projetos, considerará os critérios e respectivas pontuações máximas descritos no Quadro abaixo e terá caráter eliminatório e classificatório.</w:t>
      </w:r>
    </w:p>
    <w:p w:rsidR="00000000" w:rsidDel="00000000" w:rsidP="00000000" w:rsidRDefault="00000000" w:rsidRPr="00000000" w14:paraId="00000004">
      <w:pPr>
        <w:spacing w:before="220" w:line="240" w:lineRule="auto"/>
        <w:ind w:left="100" w:right="10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Rule="auto"/>
        <w:ind w:left="10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Quadro. </w:t>
      </w:r>
      <w:r w:rsidDel="00000000" w:rsidR="00000000" w:rsidRPr="00000000">
        <w:rPr>
          <w:sz w:val="24"/>
          <w:szCs w:val="24"/>
          <w:rtl w:val="0"/>
        </w:rPr>
        <w:t xml:space="preserve">Planilha de pontuação do mérito técnico do projeto</w:t>
      </w:r>
    </w:p>
    <w:p w:rsidR="00000000" w:rsidDel="00000000" w:rsidP="00000000" w:rsidRDefault="00000000" w:rsidRPr="00000000" w14:paraId="00000006">
      <w:pPr>
        <w:spacing w:after="20" w:lineRule="auto"/>
        <w:ind w:left="10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5055"/>
        <w:gridCol w:w="1560"/>
        <w:gridCol w:w="1440"/>
        <w:tblGridChange w:id="0">
          <w:tblGrid>
            <w:gridCol w:w="960"/>
            <w:gridCol w:w="5055"/>
            <w:gridCol w:w="1560"/>
            <w:gridCol w:w="1440"/>
          </w:tblGrid>
        </w:tblGridChange>
      </w:tblGrid>
      <w:tr>
        <w:trPr>
          <w:cantSplit w:val="0"/>
          <w:trHeight w:val="616.8505859374999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80" w:before="180" w:lineRule="auto"/>
              <w:ind w:left="2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80" w:before="180" w:lineRule="auto"/>
              <w:ind w:left="16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80" w:before="20" w:lineRule="auto"/>
              <w:ind w:left="1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80" w:before="20" w:lineRule="auto"/>
              <w:ind w:left="1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Total de pontos</w:t>
            </w:r>
          </w:p>
        </w:tc>
      </w:tr>
      <w:tr>
        <w:trPr>
          <w:cantSplit w:val="0"/>
          <w:trHeight w:val="90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32.8" w:lineRule="auto"/>
              <w:ind w:left="283.46456692913375" w:right="236.102362204724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Contempla ao menos duas dimensões e articula ações integradas de ensino, pesquisa-inovação e extensão.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80" w:before="20" w:lineRule="auto"/>
              <w:ind w:left="283.46456692913375" w:right="236.102362204724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Coerência e clareza do conteúdo da proposta no que se refere a: objetivos, justificativa e fundamentação teórico-metodológica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80" w:before="20" w:lineRule="auto"/>
              <w:ind w:left="283.46456692913375" w:right="236.102362204724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Adequação dos resultados esperados, cronograma e orçamento com os objetivos/hipóteses da proposta.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80" w:before="20" w:lineRule="auto"/>
              <w:ind w:left="283.46456692913375" w:right="236.102362204724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Impactos na formação profissional dos discentes com atividades do projeto vinculadas a componentes curriculares ou projeto pedagógico dos cursos envolvidos.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80" w:before="18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80" w:before="20" w:lineRule="auto"/>
              <w:ind w:left="283.46456692913375" w:right="236.1023622047244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Atendimento às questões locais e/ou regionais acompanhada de carta de endosso ao projeto formalizada por instituição pública ou privada parceira.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80" w:before="12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80" w:before="18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80" w:before="20" w:lineRule="auto"/>
              <w:ind w:left="283.46456692913375" w:right="236.1023622047244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Somatório dos pontos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80" w:before="18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80" w:before="180" w:lineRule="auto"/>
              <w:ind w:left="1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before="80" w:line="360" w:lineRule="auto"/>
        <w:ind w:left="0" w:righ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O Projeto será considerado apto ao obter, no mínimo, 50% da pontuação máxima, isto é, entre 50 e 100 pontos, no mérito técnico.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