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VII </w:t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INEXISTÊNCIA DE RENDA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 _____________________________________________________inscrito(a) no CPF nº ____________________ e RG nº_______________________, residente à Rua __________________________________________________________________, nº______, bairro ____________________________, cidade/estado ____________________________________ declaro não exercer atividade remunerada neste momento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 que meu sustento provém de: ________________________________________________________________________________________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248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-313053</wp:posOffset>
          </wp:positionV>
          <wp:extent cx="646430" cy="610235"/>
          <wp:effectExtent b="0" l="0" r="0" t="0"/>
          <wp:wrapTopAndBottom distB="0" dist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4Sj55MchNOwO26GjBcKOouxDQ==">AMUW2mUkNAOn6MPuY0nyVsC9FEUtr6/PQlUzXjrWrwdN5aKe1pCBE4XhmolhB4HN1l2c393LKhKQ6e+E2iIe1n7LMzRDiDhQFhcFvV3rqSNFToZcWb8+feI=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