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DECLARAÇÃO NEGATIVA 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A CARTEIRA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Eu,_____________________________________________________________________________________,  portador(a) do RG nº ________________________ e inscrito(a) no CPF sob o nº _____________________________, declaro, sob as penas da lei, para fins de apresentação ao Programa de Auxílios estudantis – PAE, que não possuo Carteira de Trabalho e Previdência Social – CTPS.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______________________, _____de ________________de 20____.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0E">
      <w:pPr>
        <w:pageBreakBefore w:val="0"/>
        <w:ind w:right="-143" w:firstLine="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right="-143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ind w:right="-1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responsável (estudante menor de 18 anos)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361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Pena- reclusão, de 1 (um) a 5 (cinco) anos, e multa.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6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2679700</wp:posOffset>
          </wp:positionH>
          <wp:positionV relativeFrom="paragraph">
            <wp:posOffset>-304798</wp:posOffset>
          </wp:positionV>
          <wp:extent cx="646430" cy="610235"/>
          <wp:effectExtent b="0" l="0" r="0" t="0"/>
          <wp:wrapTopAndBottom distB="0" dist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Awnifiwt6x/ooma3oRPFrK6HXg==">AMUW2mV5prp+wpoHvI+I377a773rlrb16si913uFZBzVA9gipLfL+bK7jlj6Kf5TzlLJLRcL9p29b5REeJqdLtBZQgJAhZWkBjw0CCxPSEro0c7IqJNKGyw=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